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DC4D04">
      <w:pPr>
        <w:ind w:firstLine="1320" w:firstLineChars="300"/>
        <w:jc w:val="both"/>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eastAsia="zh-CN"/>
        </w:rPr>
        <w:t>第五讲</w:t>
      </w:r>
      <w:r>
        <w:rPr>
          <w:rFonts w:hint="eastAsia" w:ascii="方正小标宋简体" w:hAnsi="方正小标宋简体" w:eastAsia="方正小标宋简体" w:cs="方正小标宋简体"/>
          <w:b w:val="0"/>
          <w:bCs w:val="0"/>
          <w:sz w:val="44"/>
          <w:szCs w:val="44"/>
          <w:lang w:val="en-US" w:eastAsia="zh-CN"/>
        </w:rPr>
        <w:t xml:space="preserve">  </w:t>
      </w:r>
      <w:r>
        <w:rPr>
          <w:rFonts w:hint="eastAsia" w:ascii="方正小标宋简体" w:hAnsi="方正小标宋简体" w:eastAsia="方正小标宋简体" w:cs="方正小标宋简体"/>
          <w:b w:val="0"/>
          <w:bCs w:val="0"/>
          <w:sz w:val="44"/>
          <w:szCs w:val="44"/>
        </w:rPr>
        <w:t>肥胖症的诊断与干预</w:t>
      </w:r>
    </w:p>
    <w:p w14:paraId="7C5D0130">
      <w:pPr>
        <w:ind w:firstLine="1920" w:firstLineChars="600"/>
        <w:rPr>
          <w:rFonts w:hint="eastAsia" w:ascii="仿宋_GB2312" w:hAnsi="仿宋_GB2312" w:eastAsia="仿宋_GB2312" w:cs="仿宋_GB2312"/>
          <w:sz w:val="32"/>
          <w:szCs w:val="32"/>
        </w:rPr>
      </w:pPr>
      <w:bookmarkStart w:id="0" w:name="_GoBack"/>
      <w:bookmarkEnd w:id="0"/>
      <w:r>
        <w:rPr>
          <w:rFonts w:hint="eastAsia" w:ascii="仿宋_GB2312" w:hAnsi="仿宋_GB2312" w:eastAsia="仿宋_GB2312" w:cs="仿宋_GB2312"/>
          <w:sz w:val="32"/>
          <w:szCs w:val="32"/>
        </w:rPr>
        <w:t>福建医科大学附属协和医院 吴柯君</w:t>
      </w:r>
    </w:p>
    <w:p w14:paraId="0E060F9F">
      <w:pPr>
        <w:jc w:val="center"/>
        <w:rPr>
          <w:rFonts w:hint="eastAsia" w:ascii="仿宋_GB2312" w:hAnsi="仿宋_GB2312" w:eastAsia="仿宋_GB2312" w:cs="仿宋_GB2312"/>
          <w:b/>
          <w:bCs/>
          <w:sz w:val="32"/>
          <w:szCs w:val="32"/>
        </w:rPr>
      </w:pPr>
    </w:p>
    <w:p w14:paraId="44837C54">
      <w:pPr>
        <w:numPr>
          <w:ilvl w:val="0"/>
          <w:numId w:val="1"/>
        </w:num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肥胖症的定义与病因</w:t>
      </w:r>
    </w:p>
    <w:p w14:paraId="542309B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肥胖症是一种由遗传和环境因素共同导致的脂肪组织过度积累或分布、功能异常的慢性、进行性、复发性疾病。肥胖症的发生不可简单地归因于个体不健康的生活方式。</w:t>
      </w:r>
    </w:p>
    <w:p w14:paraId="2E6DF43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遗传因素在肥胖症发生发展中起到重要作用。肥胖症具有家族聚集性，既可能来源于罕见的遗传病，如 Prader-Willi综合征（Prader-Willi Syndrome, PWS）和家族性瘦素受体（leptin receptor, LEPR）基因突变；也可能来源于与能量代谢、食欲调控等相关的遗传基因。</w:t>
      </w:r>
    </w:p>
    <w:p w14:paraId="3B7CB53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随着经济社会的快速发展和生产模式的改变，个体的生活方式发生转变。以久坐为主的工作方式、拥挤的生活环境和精神心理压力的增长，易于造成个体趋向于选择亚健康的生活方式，如摄入高能量、高脂、高糖饮食，减少身体活动。焦虑等精神心理因素引起下丘脑-垂体-肾上腺轴激活和皮质醇过度释放促进肥胖发生；而抗抑郁治疗药物（如米氮平、曲唑酮、度洛西汀和阿米替林等）亦可引起体重增加。伴随精神心理因素的睡眠不足可引起胃饥饿素、瘦素和肽YY（PeptideYY,PYY）分泌失衡，进而增加食物摄入；睡眠过多则由于机体能耗过低引起脂肪的累积。</w:t>
      </w:r>
    </w:p>
    <w:p w14:paraId="5DB06D5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此外，内分泌性疾病包括库欣综合征、甲状腺功能减退症、性腺功能减退等可引起肥胖；长期应用类固醇药物造成医源性库欣综合征亦可导致肥胖。</w:t>
      </w:r>
    </w:p>
    <w:p w14:paraId="7D76B0B6">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二、肥胖症的流行病学</w:t>
      </w:r>
    </w:p>
    <w:p w14:paraId="4CF4F41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国慢性病及其危险因素监测数据显示，至2018年，中国成年人（≥18岁）超重率为34.3%，肥胖症患病率为16.4%，6-17岁青少年儿童超重率和肥胖症患病率分别为11.1%和7.9%，6岁以下儿童的超重率和肥胖症患病率分别为6.8%和3.6%。超重和肥胖症会对健康造成严重影响，并引发一系列疾病，这些疾病会导致严重残疾和过早死亡。2019年全球疾病负担研究显示，超重和肥胖症导致的死亡在全因死亡中占比7.2%；在慢性非传染性疾病相关死亡中占比8.0%。</w:t>
      </w:r>
    </w:p>
    <w:p w14:paraId="73B44659">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三、肥胖症的诊断标准和分级分型</w:t>
      </w:r>
    </w:p>
    <w:p w14:paraId="6D5EF46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在临床上，肥胖症的诊断依据仍以体质指数（body mass index, BMI，kg/m</w:t>
      </w:r>
      <w:r>
        <w:rPr>
          <w:rFonts w:hint="eastAsia" w:ascii="仿宋_GB2312" w:hAnsi="仿宋_GB2312" w:eastAsia="仿宋_GB2312" w:cs="仿宋_GB2312"/>
          <w:sz w:val="32"/>
          <w:szCs w:val="32"/>
          <w:vertAlign w:val="superscript"/>
        </w:rPr>
        <w:t>2</w:t>
      </w:r>
      <w:r>
        <w:rPr>
          <w:rFonts w:hint="eastAsia" w:ascii="仿宋_GB2312" w:hAnsi="仿宋_GB2312" w:eastAsia="仿宋_GB2312" w:cs="仿宋_GB2312"/>
          <w:sz w:val="32"/>
          <w:szCs w:val="32"/>
        </w:rPr>
        <w:t>）为标准。但BMI并不能准确反映脂肪分布和身体成分，因此仍需要测定腰围、臀围、体脂率、内脏脂肪等进行综合评估。</w:t>
      </w:r>
    </w:p>
    <w:p w14:paraId="7CC35651">
      <w:pPr>
        <w:rPr>
          <w:rFonts w:ascii="Times New Roman" w:hAnsi="Times New Roman" w:eastAsia="宋体" w:cs="Times New Roman"/>
          <w:szCs w:val="21"/>
        </w:rPr>
      </w:pPr>
      <w:r>
        <w:rPr>
          <w:rFonts w:ascii="Times New Roman" w:hAnsi="Times New Roman" w:eastAsia="宋体" w:cs="Times New Roman"/>
          <w:szCs w:val="21"/>
        </w:rPr>
        <w:drawing>
          <wp:inline distT="0" distB="0" distL="0" distR="0">
            <wp:extent cx="5274310" cy="1868805"/>
            <wp:effectExtent l="0" t="0" r="2540" b="0"/>
            <wp:docPr id="178576056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5760569" name="图片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5274310" cy="1868805"/>
                    </a:xfrm>
                    <a:prstGeom prst="rect">
                      <a:avLst/>
                    </a:prstGeom>
                    <a:noFill/>
                    <a:ln>
                      <a:noFill/>
                    </a:ln>
                  </pic:spPr>
                </pic:pic>
              </a:graphicData>
            </a:graphic>
          </wp:inline>
        </w:drawing>
      </w:r>
    </w:p>
    <w:p w14:paraId="112BAA3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对于肥胖症的分级，依据BMI进行分级，BMI达到28.0kg/m</w:t>
      </w:r>
      <w:r>
        <w:rPr>
          <w:rFonts w:hint="eastAsia" w:ascii="仿宋_GB2312" w:hAnsi="仿宋_GB2312" w:eastAsia="仿宋_GB2312" w:cs="仿宋_GB2312"/>
          <w:sz w:val="32"/>
          <w:szCs w:val="32"/>
          <w:vertAlign w:val="superscript"/>
        </w:rPr>
        <w:t>2</w:t>
      </w:r>
      <w:r>
        <w:rPr>
          <w:rFonts w:hint="eastAsia" w:ascii="仿宋_GB2312" w:hAnsi="仿宋_GB2312" w:eastAsia="仿宋_GB2312" w:cs="仿宋_GB2312"/>
          <w:sz w:val="32"/>
          <w:szCs w:val="32"/>
        </w:rPr>
        <w:t>且低于32.5kg/m</w:t>
      </w:r>
      <w:r>
        <w:rPr>
          <w:rFonts w:hint="eastAsia" w:ascii="仿宋_GB2312" w:hAnsi="仿宋_GB2312" w:eastAsia="仿宋_GB2312" w:cs="仿宋_GB2312"/>
          <w:sz w:val="32"/>
          <w:szCs w:val="32"/>
          <w:vertAlign w:val="superscript"/>
        </w:rPr>
        <w:t>2</w:t>
      </w:r>
      <w:r>
        <w:rPr>
          <w:rFonts w:hint="eastAsia" w:ascii="仿宋_GB2312" w:hAnsi="仿宋_GB2312" w:eastAsia="仿宋_GB2312" w:cs="仿宋_GB2312"/>
          <w:sz w:val="32"/>
          <w:szCs w:val="32"/>
        </w:rPr>
        <w:t>为轻度肥胖症、达到32.5kg/m</w:t>
      </w:r>
      <w:r>
        <w:rPr>
          <w:rFonts w:hint="eastAsia" w:ascii="仿宋_GB2312" w:hAnsi="仿宋_GB2312" w:eastAsia="仿宋_GB2312" w:cs="仿宋_GB2312"/>
          <w:sz w:val="32"/>
          <w:szCs w:val="32"/>
          <w:vertAlign w:val="superscript"/>
        </w:rPr>
        <w:t>2</w:t>
      </w:r>
      <w:r>
        <w:rPr>
          <w:rFonts w:hint="eastAsia" w:ascii="仿宋_GB2312" w:hAnsi="仿宋_GB2312" w:eastAsia="仿宋_GB2312" w:cs="仿宋_GB2312"/>
          <w:sz w:val="32"/>
          <w:szCs w:val="32"/>
        </w:rPr>
        <w:t>且低于37.5kg/m</w:t>
      </w:r>
      <w:r>
        <w:rPr>
          <w:rFonts w:hint="eastAsia" w:ascii="仿宋_GB2312" w:hAnsi="仿宋_GB2312" w:eastAsia="仿宋_GB2312" w:cs="仿宋_GB2312"/>
          <w:sz w:val="32"/>
          <w:szCs w:val="32"/>
          <w:vertAlign w:val="superscript"/>
        </w:rPr>
        <w:t>2</w:t>
      </w:r>
      <w:r>
        <w:rPr>
          <w:rFonts w:hint="eastAsia" w:ascii="仿宋_GB2312" w:hAnsi="仿宋_GB2312" w:eastAsia="仿宋_GB2312" w:cs="仿宋_GB2312"/>
          <w:sz w:val="32"/>
          <w:szCs w:val="32"/>
        </w:rPr>
        <w:t>为中度肥胖症、达到37.5kg/m</w:t>
      </w:r>
      <w:r>
        <w:rPr>
          <w:rFonts w:hint="eastAsia" w:ascii="仿宋_GB2312" w:hAnsi="仿宋_GB2312" w:eastAsia="仿宋_GB2312" w:cs="仿宋_GB2312"/>
          <w:sz w:val="32"/>
          <w:szCs w:val="32"/>
          <w:vertAlign w:val="superscript"/>
        </w:rPr>
        <w:t>2</w:t>
      </w:r>
      <w:r>
        <w:rPr>
          <w:rFonts w:hint="eastAsia" w:ascii="仿宋_GB2312" w:hAnsi="仿宋_GB2312" w:eastAsia="仿宋_GB2312" w:cs="仿宋_GB2312"/>
          <w:sz w:val="32"/>
          <w:szCs w:val="32"/>
        </w:rPr>
        <w:t>且低于50kg/m</w:t>
      </w:r>
      <w:r>
        <w:rPr>
          <w:rFonts w:hint="eastAsia" w:ascii="仿宋_GB2312" w:hAnsi="仿宋_GB2312" w:eastAsia="仿宋_GB2312" w:cs="仿宋_GB2312"/>
          <w:sz w:val="32"/>
          <w:szCs w:val="32"/>
          <w:vertAlign w:val="superscript"/>
        </w:rPr>
        <w:t>2</w:t>
      </w:r>
      <w:r>
        <w:rPr>
          <w:rFonts w:hint="eastAsia" w:ascii="仿宋_GB2312" w:hAnsi="仿宋_GB2312" w:eastAsia="仿宋_GB2312" w:cs="仿宋_GB2312"/>
          <w:sz w:val="32"/>
          <w:szCs w:val="32"/>
        </w:rPr>
        <w:t>为重度肥胖症、达到或超过50kg/m</w:t>
      </w:r>
      <w:r>
        <w:rPr>
          <w:rFonts w:hint="eastAsia" w:ascii="仿宋_GB2312" w:hAnsi="仿宋_GB2312" w:eastAsia="仿宋_GB2312" w:cs="仿宋_GB2312"/>
          <w:sz w:val="32"/>
          <w:szCs w:val="32"/>
          <w:vertAlign w:val="superscript"/>
        </w:rPr>
        <w:t>2</w:t>
      </w:r>
      <w:r>
        <w:rPr>
          <w:rFonts w:hint="eastAsia" w:ascii="仿宋_GB2312" w:hAnsi="仿宋_GB2312" w:eastAsia="仿宋_GB2312" w:cs="仿宋_GB2312"/>
          <w:sz w:val="32"/>
          <w:szCs w:val="32"/>
        </w:rPr>
        <w:t>为极重度肥胖症。</w:t>
      </w:r>
    </w:p>
    <w:p w14:paraId="23E236E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肥胖症的分型可依据病因分为原发性肥胖症和继发性肥胖症，后者包括内分泌疾病、药物和综合性肥胖症或单基因肥胖症。为了更好地评估肥胖症的相关风险，指导制定适合的治疗方案，肥胖症按照代谢异常与否可分为以下几种型别：</w:t>
      </w:r>
    </w:p>
    <w:p w14:paraId="63D81409">
      <w:pPr>
        <w:ind w:firstLine="420" w:firstLineChars="200"/>
        <w:jc w:val="center"/>
        <w:rPr>
          <w:rFonts w:ascii="Times New Roman" w:hAnsi="Times New Roman" w:eastAsia="宋体" w:cs="Times New Roman"/>
          <w:b/>
          <w:bCs/>
          <w:szCs w:val="21"/>
        </w:rPr>
      </w:pPr>
      <w:r>
        <w:rPr>
          <w:rFonts w:ascii="Times New Roman" w:hAnsi="Times New Roman" w:eastAsia="宋体" w:cs="Times New Roman"/>
          <w:szCs w:val="21"/>
        </w:rPr>
        <w:drawing>
          <wp:anchor distT="0" distB="0" distL="114300" distR="114300" simplePos="0" relativeHeight="251659264" behindDoc="0" locked="0" layoutInCell="1" allowOverlap="1">
            <wp:simplePos x="0" y="0"/>
            <wp:positionH relativeFrom="column">
              <wp:posOffset>13970</wp:posOffset>
            </wp:positionH>
            <wp:positionV relativeFrom="paragraph">
              <wp:posOffset>246380</wp:posOffset>
            </wp:positionV>
            <wp:extent cx="5274310" cy="1772920"/>
            <wp:effectExtent l="0" t="0" r="2540" b="0"/>
            <wp:wrapTopAndBottom/>
            <wp:docPr id="7036685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66852" name="图片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274310" cy="1772920"/>
                    </a:xfrm>
                    <a:prstGeom prst="rect">
                      <a:avLst/>
                    </a:prstGeom>
                    <a:noFill/>
                    <a:ln>
                      <a:noFill/>
                    </a:ln>
                  </pic:spPr>
                </pic:pic>
              </a:graphicData>
            </a:graphic>
          </wp:anchor>
        </w:drawing>
      </w:r>
      <w:r>
        <w:rPr>
          <w:rFonts w:ascii="Times New Roman" w:hAnsi="Times New Roman" w:eastAsia="宋体" w:cs="Times New Roman"/>
          <w:b/>
          <w:bCs/>
          <w:szCs w:val="21"/>
        </w:rPr>
        <w:t>表2 肥胖症的代谢分型</w:t>
      </w:r>
    </w:p>
    <w:p w14:paraId="48835C2C">
      <w:pPr>
        <w:rPr>
          <w:rFonts w:ascii="Times New Roman" w:hAnsi="Times New Roman" w:eastAsia="宋体" w:cs="Times New Roman"/>
          <w:b/>
          <w:bCs/>
          <w:szCs w:val="21"/>
        </w:rPr>
      </w:pPr>
    </w:p>
    <w:p w14:paraId="05455DD1">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四、肥胖症相关疾病</w:t>
      </w:r>
    </w:p>
    <w:p w14:paraId="63A2698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肥胖症相关合并症累积多系统、多维度，往往加重病情的复杂程度。中国肥胖患者中89.1%至少合并１种并发症，并且肥胖人群出现１种、２种、多种（≥４种）复杂肥胖相关疾病的风险分别是体重正常人群的2.83倍、5.17倍和12.39倍。此外，肥胖程度越高，患多种复杂合并症的风险也越高。肥胖症相关疾病主要包括以下几个方面：</w:t>
      </w:r>
    </w:p>
    <w:p w14:paraId="22056A27">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内分泌代谢性疾病：</w:t>
      </w:r>
      <w:r>
        <w:rPr>
          <w:rFonts w:hint="eastAsia" w:ascii="仿宋_GB2312" w:hAnsi="仿宋_GB2312" w:eastAsia="仿宋_GB2312" w:cs="仿宋_GB2312"/>
          <w:sz w:val="32"/>
          <w:szCs w:val="32"/>
        </w:rPr>
        <w:t>代谢综合征、糖代谢异常（糖尿病、糖尿病前期）、高胰岛素血症与胰岛素抵抗；脂代谢异常，以甘油三酯（triglyceride,TG）水平增高尤为突出；还包括高尿酸血症与痛风等。</w:t>
      </w:r>
    </w:p>
    <w:p w14:paraId="35AB6B62">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心血管系统疾病：</w:t>
      </w:r>
      <w:r>
        <w:rPr>
          <w:rFonts w:hint="eastAsia" w:ascii="仿宋_GB2312" w:hAnsi="仿宋_GB2312" w:eastAsia="仿宋_GB2312" w:cs="仿宋_GB2312"/>
          <w:sz w:val="32"/>
          <w:szCs w:val="32"/>
        </w:rPr>
        <w:t>高血压，可能表现为难治性高血压，较非肥胖个体往往需要使用更多的降压药物，且合并隐蔽性高血压和单纯舒张期高血压的比例高于正常体重人群；动脉粥样硬化、冠心病、充血性心力衰竭、心律失常（心房颤动）、心肌病等，其机制与肥胖症患者常合并有高血压、血脂异常、机体炎症反应、胰岛素抵抗等相关。减重治疗可作为肥胖症患者降低心血管事件的有效干预措施。</w:t>
      </w:r>
    </w:p>
    <w:p w14:paraId="6F1CA57F">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生殖系统疾病：</w:t>
      </w:r>
      <w:r>
        <w:rPr>
          <w:rFonts w:hint="eastAsia" w:ascii="仿宋_GB2312" w:hAnsi="仿宋_GB2312" w:eastAsia="仿宋_GB2312" w:cs="仿宋_GB2312"/>
          <w:sz w:val="32"/>
          <w:szCs w:val="32"/>
        </w:rPr>
        <w:t>多囊卵巢综合征（polycystic ovary syndrome, PCOS）是受肥胖影响最显著的女性生殖系统疾病，肥胖症与PCOS患者不孕症、妊娠期糖尿病、妊娠期高血压、早产等风险增高相关；对于无PCOS的肥胖症女性，排卵、卵母细胞质量、子宫内膜功能、受精卵着床也受影响，发生不孕症。肥胖症与男性血清睾酮水平、精子浓度、形态、活力下降及血清泌乳素和雌二醇升高有关，影响男性生殖器官发育和功能维持；亦可导致男性低促性腺激素性性功能减退。</w:t>
      </w:r>
    </w:p>
    <w:p w14:paraId="34CA855A">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消化系统疾病：</w:t>
      </w:r>
      <w:r>
        <w:rPr>
          <w:rFonts w:hint="eastAsia" w:ascii="仿宋_GB2312" w:hAnsi="仿宋_GB2312" w:eastAsia="仿宋_GB2312" w:cs="仿宋_GB2312"/>
          <w:sz w:val="32"/>
          <w:szCs w:val="32"/>
        </w:rPr>
        <w:t>代谢功能障碍相关性脂肪性肝病包括单纯性脂肪肝（nonalcoholic fatty liver, NAFL）、脂肪性肝炎（nonalcoholic13steatoheatitis,NASH）、肝纤维化和肝硬化等，主要由脂肪酸在肝细胞内异位蓄积引起局部炎症造成肝细胞坏死。同时，肥胖患者高脂饮食增加胆石症风险。此外，肥胖患者腹部脂肪累积引起腹内压增加，促进胃食管反流发生。</w:t>
      </w:r>
    </w:p>
    <w:p w14:paraId="5D67A72E">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呼吸系统疾病：</w:t>
      </w:r>
      <w:r>
        <w:rPr>
          <w:rFonts w:hint="eastAsia" w:ascii="仿宋_GB2312" w:hAnsi="仿宋_GB2312" w:eastAsia="仿宋_GB2312" w:cs="仿宋_GB2312"/>
          <w:sz w:val="32"/>
          <w:szCs w:val="32"/>
        </w:rPr>
        <w:t>阻塞性睡眠呼吸暂停综合征（obstructive sleep apnea syndrome,OSAS）由肥胖时颈部、咽喉的脂肪组织增多，导致咽喉腔相对更加狭窄，导致吸入的空气和氧气不足引起，减重治疗对肥胖患者OSAS具有显著疗效，同时改善了睡眠障碍等OSAS并发症；此外，肥胖可改变呼吸系统的机械特性，并且脂肪组织有可能会释放嗜酸粒细胞、趋化因子、白介素等炎症因子，导致过敏性炎症相对比较容易发生促进哮喘/反应性气道疾病的发生。</w:t>
      </w:r>
    </w:p>
    <w:p w14:paraId="4ED3AD14">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运动系统疾病：</w:t>
      </w:r>
      <w:r>
        <w:rPr>
          <w:rFonts w:hint="eastAsia" w:ascii="仿宋_GB2312" w:hAnsi="仿宋_GB2312" w:eastAsia="仿宋_GB2312" w:cs="仿宋_GB2312"/>
          <w:sz w:val="32"/>
          <w:szCs w:val="32"/>
        </w:rPr>
        <w:t>膝、骨关节炎、腰椎疾病等由于脂肪累积造成的承重应力作用引起，同时可造成肥胖症患者运动能力下降、减重困难。</w:t>
      </w:r>
    </w:p>
    <w:p w14:paraId="3BFDD98B">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精神系统疾病：</w:t>
      </w:r>
      <w:r>
        <w:rPr>
          <w:rFonts w:hint="eastAsia" w:ascii="仿宋_GB2312" w:hAnsi="仿宋_GB2312" w:eastAsia="仿宋_GB2312" w:cs="仿宋_GB2312"/>
          <w:sz w:val="32"/>
          <w:szCs w:val="32"/>
        </w:rPr>
        <w:t>抑郁症、焦虑、双相障碍等精神障碍与肥胖症存在互相影响，一方面由于情绪精神问题造成进食障碍、睡眠障碍等可促进肥胖的发生，同时由肥胖引起的社会歧视进而产生自卑情绪加剧精神疾病。</w:t>
      </w:r>
    </w:p>
    <w:p w14:paraId="1EFC9818">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神经系统改变：</w:t>
      </w:r>
      <w:r>
        <w:rPr>
          <w:rFonts w:hint="eastAsia" w:ascii="仿宋_GB2312" w:hAnsi="仿宋_GB2312" w:eastAsia="仿宋_GB2312" w:cs="仿宋_GB2312"/>
          <w:sz w:val="32"/>
          <w:szCs w:val="32"/>
        </w:rPr>
        <w:t>认知功能障碍包括执行功能受损、短时记忆受损，可能与肥胖导致的脑代谢问题、脑血管病变有关。</w:t>
      </w:r>
    </w:p>
    <w:p w14:paraId="586FC138">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泌尿系统疾病：</w:t>
      </w:r>
      <w:r>
        <w:rPr>
          <w:rFonts w:hint="eastAsia" w:ascii="仿宋_GB2312" w:hAnsi="仿宋_GB2312" w:eastAsia="仿宋_GB2312" w:cs="仿宋_GB2312"/>
          <w:sz w:val="32"/>
          <w:szCs w:val="32"/>
        </w:rPr>
        <w:t>肥胖可能通过高血压、糖尿病、高尿酸、高脂血症和感染等引起慢性肾脏疾病，需引起重视。同时，腹部脂肪累积造成腹压增大可引起张力性尿失禁。</w:t>
      </w:r>
    </w:p>
    <w:p w14:paraId="66277960">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肿瘤：</w:t>
      </w:r>
      <w:r>
        <w:rPr>
          <w:rFonts w:hint="eastAsia" w:ascii="仿宋_GB2312" w:hAnsi="仿宋_GB2312" w:eastAsia="仿宋_GB2312" w:cs="仿宋_GB2312"/>
          <w:sz w:val="32"/>
          <w:szCs w:val="32"/>
        </w:rPr>
        <w:t>一些恶性肿瘤在超重和肥胖人群中发病率显著增高，如结直肠癌、食管腺癌、肾癌和胰腺癌；此外，男性甲状腺癌、女性胆囊癌、子宫内膜癌和绝经后乳腺癌也随着BMI水平的增加而相应升高。</w:t>
      </w:r>
    </w:p>
    <w:p w14:paraId="6F19A3F1">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五、肥胖症的评估</w:t>
      </w:r>
    </w:p>
    <w:p w14:paraId="37F0CF2D">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（一）病因评估</w:t>
      </w:r>
    </w:p>
    <w:p w14:paraId="5E8E42B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病因评估的目的是区分单纯性肥胖和继发性肥胖。通过病史询问，了解患者自出生以来超重或肥胖的病史，体重增长的重要节点和诱因，以及既往减重治疗的方式和效果。</w:t>
      </w:r>
    </w:p>
    <w:p w14:paraId="4CD2D9B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从遗传因素、外源性事件社会因素、疾病与医源性因素三个方面出发，系统性地询问可能的病因：</w:t>
      </w:r>
    </w:p>
    <w:p w14:paraId="453C4EBF">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遗传因素：</w:t>
      </w:r>
      <w:r>
        <w:rPr>
          <w:rFonts w:hint="eastAsia" w:ascii="仿宋_GB2312" w:hAnsi="仿宋_GB2312" w:eastAsia="仿宋_GB2312" w:cs="仿宋_GB2312"/>
          <w:sz w:val="32"/>
          <w:szCs w:val="32"/>
        </w:rPr>
        <w:t>肥胖症及肥胖相关疾病的家族史与聚集史。</w:t>
      </w:r>
    </w:p>
    <w:p w14:paraId="368B8458">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外源性事件因素：</w:t>
      </w:r>
      <w:r>
        <w:rPr>
          <w:rFonts w:hint="eastAsia" w:ascii="仿宋_GB2312" w:hAnsi="仿宋_GB2312" w:eastAsia="仿宋_GB2312" w:cs="仿宋_GB2312"/>
          <w:sz w:val="32"/>
          <w:szCs w:val="32"/>
        </w:rPr>
        <w:t>重大生活事件或变故，如婚姻家庭、工作、学业事件；生活方式，饮食习惯（是否有暴食症等进食障碍）、运动习惯与工作强度（是否体力活动较少）、睡眠情况、吸烟和戒烟史、饮酒史等。</w:t>
      </w:r>
    </w:p>
    <w:p w14:paraId="01E68474">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疾病与医源性因素：</w:t>
      </w:r>
      <w:r>
        <w:rPr>
          <w:rFonts w:hint="eastAsia" w:ascii="仿宋_GB2312" w:hAnsi="仿宋_GB2312" w:eastAsia="仿宋_GB2312" w:cs="仿宋_GB2312"/>
          <w:sz w:val="32"/>
          <w:szCs w:val="32"/>
        </w:rPr>
        <w:t>是否有甲状腺功能减退、垂体疾病、肾上腺疾病等内分泌性疾病史；是否有焦虑、抑郁、双相障碍等精神性疾病史及用药史；是否有长期糖皮质激素药物治疗史。</w:t>
      </w:r>
    </w:p>
    <w:p w14:paraId="06271758">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（二）肥胖程度及相关疾病的评估</w:t>
      </w:r>
    </w:p>
    <w:p w14:paraId="2C8BB2EC">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体格检查项目：</w:t>
      </w:r>
      <w:r>
        <w:rPr>
          <w:rFonts w:hint="eastAsia" w:ascii="仿宋_GB2312" w:hAnsi="仿宋_GB2312" w:eastAsia="仿宋_GB2312" w:cs="仿宋_GB2312"/>
          <w:sz w:val="32"/>
          <w:szCs w:val="32"/>
        </w:rPr>
        <w:t>人体测量学指标及相关指标计算，包括身高、体重、腰围、臀围、BMI、腰臀比；血压测量；肥胖症相关疾病或导致继发性肥胖症的疾病相关体征：如黑棘皮、满月脸、水牛背、腹部宽大紫纹、甲状腺肿等。</w:t>
      </w:r>
    </w:p>
    <w:p w14:paraId="0E61D23C">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实验室检查项目：</w:t>
      </w:r>
      <w:r>
        <w:rPr>
          <w:rFonts w:hint="eastAsia" w:ascii="仿宋_GB2312" w:hAnsi="仿宋_GB2312" w:eastAsia="仿宋_GB2312" w:cs="仿宋_GB2312"/>
          <w:sz w:val="32"/>
          <w:szCs w:val="32"/>
        </w:rPr>
        <w:t>血糖、糖化血红蛋白、胰岛素水平；血脂谱（TC、HDL-C、LDL-C、TG）；血尿酸；肝功能：谷丙转氨酶、谷草转氨酶、直接胆红素、间接胆红素；肾功能：血肌酐、肾小球滤过率（estimated glomerular filtration rate, eGFR）；甲状腺功能：促甲状腺激素（thyroid stimulating hormone,TSH）及游离T4水平（freethyroxine,FT4）；库欣综合征筛查：皮质醇、促肾上腺皮质激素（Adrenocorticotropic hormone, ACTH）。</w:t>
      </w:r>
    </w:p>
    <w:p w14:paraId="6C966178">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体脂含量和内脏脂肪含量的测定</w:t>
      </w:r>
      <w:r>
        <w:rPr>
          <w:rFonts w:hint="eastAsia" w:ascii="仿宋_GB2312" w:hAnsi="仿宋_GB2312" w:eastAsia="仿宋_GB2312" w:cs="仿宋_GB2312"/>
          <w:sz w:val="32"/>
          <w:szCs w:val="32"/>
        </w:rPr>
        <w:t>：测定体脂含量的方法有BIA、DEXA、皮褶厚度法等；内脏脂肪含量的测定通过腹部CT和MRI进行。</w:t>
      </w:r>
    </w:p>
    <w:p w14:paraId="24390EB7">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精神心理评估：</w:t>
      </w:r>
      <w:r>
        <w:rPr>
          <w:rFonts w:hint="eastAsia" w:ascii="仿宋_GB2312" w:hAnsi="仿宋_GB2312" w:eastAsia="仿宋_GB2312" w:cs="仿宋_GB2312"/>
          <w:sz w:val="32"/>
          <w:szCs w:val="32"/>
        </w:rPr>
        <w:t>由精神心理专业医师针对患者的焦虑、抑郁、进食障碍等方面进行评估。</w:t>
      </w:r>
    </w:p>
    <w:p w14:paraId="0B7078DA">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肥胖症合并症的评估：</w:t>
      </w:r>
      <w:r>
        <w:rPr>
          <w:rFonts w:hint="eastAsia" w:ascii="仿宋_GB2312" w:hAnsi="仿宋_GB2312" w:eastAsia="仿宋_GB2312" w:cs="仿宋_GB2312"/>
          <w:sz w:val="32"/>
          <w:szCs w:val="32"/>
        </w:rPr>
        <w:t>根据患者的病情和诉求，选择性完善各系统合并症的评估，如可疑有性腺功能减退、不孕不育、PCOS的完善性激素相关检查；夜间打鼾的完善睡眠呼吸监测；疑有代谢相关性疾病等，并转介专科会诊或进行多学科综合治疗协作组（multidisciplinary team，MDT）诊治。</w:t>
      </w:r>
    </w:p>
    <w:p w14:paraId="6ED239F8">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六、肥胖症的治疗和管理</w:t>
      </w:r>
    </w:p>
    <w:p w14:paraId="3A7E1AE5">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（一）肥胖症的治疗目标设定</w:t>
      </w:r>
    </w:p>
    <w:p w14:paraId="33FEC29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肥胖症治疗的目的是减少体内过多的脂肪蓄积，降低相关并发症风险、控制已有并发症的进展，实现个体化最佳体重并长期维持，提高患者的健康水平和社会适应能力，谋求远期结局（如心血管结局、全因死亡）的改善。对于大多数超重和轻度肥胖症患者，可设定为在3-6个月之内至少将体重降低5%-15%并维持；对于中、重度肥胖症患者则可设定更高的减重目标，以获得代谢异常和相关临床结局的更优改善。长期体重管理通常包括强化治疗阶段和治疗维持阶段，针对同一肥胖个体，不同阶段应制定不同的治疗目标与策略。</w:t>
      </w:r>
    </w:p>
    <w:p w14:paraId="4A612CB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开始肥胖症治疗之前，临床医生首先要对患者进行动机访谈，共同制定减重目标，激发患者的主观能动性。通过动机访谈，与患者共同明确肥胖带来的主要负担，如精神心理压力与社会适应性降低、肥胖合并症对健康的损伤、工作能力降低、生活负担加剧等。鼓励患者表达，发掘减重过程中存在的困扰，并在沟通中提出可能达成的小目标，增加患者的减重成就感。</w:t>
      </w:r>
    </w:p>
    <w:p w14:paraId="3FC4945B">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（二）肥胖症的管理</w:t>
      </w:r>
    </w:p>
    <w:p w14:paraId="4DE1CBF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于肥胖症的慢性和复发性特征，肥胖管理应遵循及时性、长期性、个体性的原则。肥胖症的治疗主要包括行为心理干预、运动干预、临床营养治疗、药物治疗、外科手术治疗以及中医药治疗等。其中，生活方式干预贯穿始终。所有的干预手段均需要定期随访评估，适时调整治疗方案。</w:t>
      </w:r>
    </w:p>
    <w:p w14:paraId="111E1054">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行为心理干预</w:t>
      </w:r>
      <w:r>
        <w:rPr>
          <w:rFonts w:hint="eastAsia" w:ascii="仿宋_GB2312" w:hAnsi="仿宋_GB2312" w:eastAsia="仿宋_GB2312" w:cs="仿宋_GB2312"/>
          <w:sz w:val="32"/>
          <w:szCs w:val="32"/>
        </w:rPr>
        <w:t>在肥胖症管理中起到重要作用，旨在帮助患者获得应对压力事件的技巧、避免情绪相关性暴食，同时建立体重管理的信心。主要的方法包括认知行为疗法、情感支持与互助团体支持。</w:t>
      </w:r>
    </w:p>
    <w:p w14:paraId="46B984DE">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运动干预</w:t>
      </w:r>
      <w:r>
        <w:rPr>
          <w:rFonts w:hint="eastAsia" w:ascii="仿宋_GB2312" w:hAnsi="仿宋_GB2312" w:eastAsia="仿宋_GB2312" w:cs="仿宋_GB2312"/>
          <w:sz w:val="32"/>
          <w:szCs w:val="32"/>
        </w:rPr>
        <w:t>应在评估运动风险的基础上，根据患者的BMI、体能、基础疾病和肥胖症相关疾病制定个体化运动处方。运动干预开始前，测定体脂成分、肌肉含量，并通过心肺运动试验确定安全的运动干预中的无氧阈心率，界定有氧运动的可靠参数，视患者运动能力安排力量抗阻训练、有氧耐力运动和拉伸运动。</w:t>
      </w:r>
    </w:p>
    <w:p w14:paraId="7D42261B">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临床营养治疗</w:t>
      </w:r>
      <w:r>
        <w:rPr>
          <w:rFonts w:hint="eastAsia" w:ascii="仿宋_GB2312" w:hAnsi="仿宋_GB2312" w:eastAsia="仿宋_GB2312" w:cs="仿宋_GB2312"/>
          <w:sz w:val="32"/>
          <w:szCs w:val="32"/>
        </w:rPr>
        <w:t>是全程体重管理的基础疗法，旨在满足患者基本能量需求和减重需求求而采取的调整营养素比例的膳食方式，主要包括限能量饮食、高蛋白饮食、轻断食模式、低碳水化合物饮食等方式。</w:t>
      </w:r>
    </w:p>
    <w:p w14:paraId="48599250">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药物治疗</w:t>
      </w:r>
      <w:r>
        <w:rPr>
          <w:rFonts w:hint="eastAsia" w:ascii="仿宋_GB2312" w:hAnsi="仿宋_GB2312" w:eastAsia="仿宋_GB2312" w:cs="仿宋_GB2312"/>
          <w:sz w:val="32"/>
          <w:szCs w:val="32"/>
        </w:rPr>
        <w:t>对于生活方式干预疗效不佳、BMI≥28kg/m</w:t>
      </w:r>
      <w:r>
        <w:rPr>
          <w:rFonts w:hint="eastAsia" w:ascii="仿宋_GB2312" w:hAnsi="仿宋_GB2312" w:eastAsia="仿宋_GB2312" w:cs="仿宋_GB2312"/>
          <w:sz w:val="32"/>
          <w:szCs w:val="32"/>
          <w:vertAlign w:val="superscript"/>
        </w:rPr>
        <w:t>2</w:t>
      </w:r>
      <w:r>
        <w:rPr>
          <w:rFonts w:hint="eastAsia" w:ascii="仿宋_GB2312" w:hAnsi="仿宋_GB2312" w:eastAsia="仿宋_GB2312" w:cs="仿宋_GB2312"/>
          <w:sz w:val="32"/>
          <w:szCs w:val="32"/>
        </w:rPr>
        <w:t>、腰围男性≥90cm、女性≥85cm、体脂率男性≥25%、女性≥30%和有肥胖合并症的患者，可起始药物治疗。目前国内共有五种药物获得国家药品监督管理局批准用于成年原发性肥胖症患者减重治疗，包括奥利司他、利拉鲁肽、贝那鲁肽、司美格鲁肽及替尔泊肽。需要在充分评估患者病情及有无禁忌证后方可起始应用。在合并超重或肥胖的T2DM患者中，其他GLP-1RA以及钠-葡萄糖共转运蛋白2（sodium-glucosecotransporter2,SGLT2）抑制剂也显示具有中等强度的减重效果。</w:t>
      </w:r>
    </w:p>
    <w:p w14:paraId="4CC7F2CF">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减重与代谢外科手术治疗</w:t>
      </w:r>
      <w:r>
        <w:rPr>
          <w:rFonts w:hint="eastAsia" w:ascii="仿宋_GB2312" w:hAnsi="仿宋_GB2312" w:eastAsia="仿宋_GB2312" w:cs="仿宋_GB2312"/>
          <w:sz w:val="32"/>
          <w:szCs w:val="32"/>
        </w:rPr>
        <w:t>，对于BMI≥32kg/m</w:t>
      </w:r>
      <w:r>
        <w:rPr>
          <w:rFonts w:hint="eastAsia" w:ascii="仿宋_GB2312" w:hAnsi="仿宋_GB2312" w:eastAsia="仿宋_GB2312" w:cs="仿宋_GB2312"/>
          <w:sz w:val="32"/>
          <w:szCs w:val="32"/>
          <w:vertAlign w:val="superscript"/>
        </w:rPr>
        <w:t>2</w:t>
      </w:r>
      <w:r>
        <w:rPr>
          <w:rFonts w:hint="eastAsia" w:ascii="仿宋_GB2312" w:hAnsi="仿宋_GB2312" w:eastAsia="仿宋_GB2312" w:cs="仿宋_GB2312"/>
          <w:sz w:val="32"/>
          <w:szCs w:val="32"/>
        </w:rPr>
        <w:t>或者BMI≥27.5 kg/m</w:t>
      </w:r>
      <w:r>
        <w:rPr>
          <w:rFonts w:hint="eastAsia" w:ascii="仿宋_GB2312" w:hAnsi="仿宋_GB2312" w:eastAsia="仿宋_GB2312" w:cs="仿宋_GB2312"/>
          <w:sz w:val="32"/>
          <w:szCs w:val="32"/>
          <w:vertAlign w:val="superscript"/>
        </w:rPr>
        <w:t>2</w:t>
      </w:r>
      <w:r>
        <w:rPr>
          <w:rFonts w:hint="eastAsia" w:ascii="仿宋_GB2312" w:hAnsi="仿宋_GB2312" w:eastAsia="仿宋_GB2312" w:cs="仿宋_GB2312"/>
          <w:sz w:val="32"/>
          <w:szCs w:val="32"/>
        </w:rPr>
        <w:t>伴有肥胖合并症的患者，可与减重外科专家探讨手术治疗的可能性。</w:t>
      </w:r>
    </w:p>
    <w:p w14:paraId="00CC80B6">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中医药治疗</w:t>
      </w:r>
      <w:r>
        <w:rPr>
          <w:rFonts w:hint="eastAsia" w:ascii="仿宋_GB2312" w:hAnsi="仿宋_GB2312" w:eastAsia="仿宋_GB2312" w:cs="仿宋_GB2312"/>
          <w:sz w:val="32"/>
          <w:szCs w:val="32"/>
        </w:rPr>
        <w:t>在生活方式干预的基础上，遵循整体观念和辨证论治，辅助体重管理。</w:t>
      </w:r>
    </w:p>
    <w:p w14:paraId="0B6CCA1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此外，近年来数字健康工具，如可穿戴设备、移动健康应用程序、远程监测设备等在肥胖症管理中得到研究和应用。</w:t>
      </w:r>
    </w:p>
    <w:p w14:paraId="22CBCFB3">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（三）减重治疗后的体重维持</w:t>
      </w:r>
    </w:p>
    <w:p w14:paraId="1AAE425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体重反弹通常被定义为体重从体重减轻的峰值（减重干预所能达到的最低体重）开始随时间的上升变化，上升程度超过3%~5%的基线体重为体重反弹的切点。体重减轻伴随着机体代谢适应性的改变，身体增加食欲，减少饱腹感，降低代谢率，从而抵抗持续的体重减轻，导致体重反弹。而反弹往往会带来肥胖相关合并症的恶化，损伤患者的减重信心。基于肥胖症的慢性复发性特征，所有减重手段均存在停止干预后体重反弹的问题，因此正确对待反弹和体重管理。在减重药物强化治疗后，在维持治疗期尽量保持原有减重药和生活方式干预不变，但也需结合患者个体情况进行适当调整。</w:t>
      </w:r>
    </w:p>
    <w:p w14:paraId="30616FD5">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七、总结</w:t>
      </w:r>
    </w:p>
    <w:p w14:paraId="6AECB4AA">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肥胖症在我国范围内的高患病率对个体和社会造成沉重的医疗负担，将防治肥胖症及其合并症的关口前移对改善患者生活质量、减轻社会经济负担有重要意义。肥胖症的识别、评估与管理流程总结如下图。</w:t>
      </w:r>
    </w:p>
    <w:p w14:paraId="1A39397E">
      <w:pPr>
        <w:keepNext w:val="0"/>
        <w:keepLines w:val="0"/>
        <w:pageBreakBefore w:val="0"/>
        <w:widowControl w:val="0"/>
        <w:kinsoku/>
        <w:wordWrap/>
        <w:overflowPunct/>
        <w:topLinePunct w:val="0"/>
        <w:autoSpaceDE/>
        <w:autoSpaceDN/>
        <w:bidi w:val="0"/>
        <w:adjustRightInd/>
        <w:snapToGrid/>
        <w:textAlignment w:val="auto"/>
        <w:rPr>
          <w:rFonts w:ascii="Times New Roman" w:hAnsi="Times New Roman" w:eastAsia="宋体" w:cs="Times New Roman"/>
          <w:szCs w:val="21"/>
        </w:rPr>
      </w:pPr>
      <w:r>
        <w:rPr>
          <w:rFonts w:hint="eastAsia" w:ascii="仿宋_GB2312" w:hAnsi="仿宋_GB2312" w:eastAsia="仿宋_GB2312" w:cs="仿宋_GB2312"/>
          <w:sz w:val="32"/>
          <w:szCs w:val="32"/>
        </w:rPr>
        <w:drawing>
          <wp:inline distT="0" distB="0" distL="0" distR="0">
            <wp:extent cx="5274310" cy="4728210"/>
            <wp:effectExtent l="0" t="0" r="2540" b="0"/>
            <wp:docPr id="193984529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845298"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274310" cy="4728210"/>
                    </a:xfrm>
                    <a:prstGeom prst="rect">
                      <a:avLst/>
                    </a:prstGeom>
                    <a:noFill/>
                    <a:ln>
                      <a:noFill/>
                    </a:ln>
                  </pic:spPr>
                </pic:pic>
              </a:graphicData>
            </a:graphic>
          </wp:inline>
        </w:drawing>
      </w:r>
    </w:p>
    <w:p w14:paraId="2A19B543">
      <w:pPr>
        <w:rPr>
          <w:rFonts w:ascii="Times New Roman" w:hAnsi="Times New Roman" w:eastAsia="宋体" w:cs="Times New Roman"/>
          <w:b/>
          <w:bCs/>
          <w:szCs w:val="21"/>
        </w:rPr>
      </w:pPr>
    </w:p>
    <w:p w14:paraId="629BD72E">
      <w:pPr>
        <w:rPr>
          <w:rFonts w:hint="eastAsia" w:ascii="Times New Roman" w:hAnsi="Times New Roman" w:eastAsia="宋体" w:cs="Times New Roman"/>
          <w:b/>
          <w:bCs/>
          <w:szCs w:val="21"/>
        </w:rPr>
      </w:pPr>
    </w:p>
    <w:p w14:paraId="51402CAF">
      <w:pPr>
        <w:rPr>
          <w:rFonts w:hint="eastAsia" w:ascii="Times New Roman" w:hAnsi="Times New Roman" w:eastAsia="宋体" w:cs="Times New Roman"/>
          <w:b/>
          <w:bCs/>
          <w:szCs w:val="21"/>
        </w:rPr>
      </w:pPr>
    </w:p>
    <w:p w14:paraId="0B0B491A">
      <w:pPr>
        <w:rPr>
          <w:rFonts w:hint="eastAsia" w:ascii="Times New Roman" w:hAnsi="Times New Roman" w:eastAsia="宋体" w:cs="Times New Roman"/>
          <w:b/>
          <w:bCs/>
          <w:szCs w:val="21"/>
        </w:rPr>
      </w:pPr>
    </w:p>
    <w:p w14:paraId="7BDE552B">
      <w:pPr>
        <w:rPr>
          <w:rFonts w:hint="eastAsia" w:ascii="Times New Roman" w:hAnsi="Times New Roman" w:eastAsia="宋体" w:cs="Times New Roman"/>
          <w:b/>
          <w:bCs/>
          <w:szCs w:val="21"/>
        </w:rPr>
      </w:pPr>
    </w:p>
    <w:p w14:paraId="3CF5E730">
      <w:pPr>
        <w:rPr>
          <w:rFonts w:hint="eastAsia" w:ascii="Times New Roman" w:hAnsi="Times New Roman" w:eastAsia="宋体" w:cs="Times New Roman"/>
          <w:b/>
          <w:bCs/>
          <w:szCs w:val="21"/>
        </w:rPr>
      </w:pPr>
    </w:p>
    <w:p w14:paraId="5C722722">
      <w:pPr>
        <w:rPr>
          <w:rFonts w:hint="eastAsia" w:ascii="Times New Roman" w:hAnsi="Times New Roman" w:eastAsia="宋体" w:cs="Times New Roman"/>
          <w:b/>
          <w:bCs/>
          <w:szCs w:val="21"/>
        </w:rPr>
      </w:pPr>
    </w:p>
    <w:p w14:paraId="23BBB71A">
      <w:pPr>
        <w:rPr>
          <w:rFonts w:hint="eastAsia" w:ascii="Times New Roman" w:hAnsi="Times New Roman" w:eastAsia="宋体" w:cs="Times New Roman"/>
          <w:b/>
          <w:bCs/>
          <w:szCs w:val="21"/>
        </w:rPr>
      </w:pPr>
    </w:p>
    <w:p w14:paraId="66B1DCED">
      <w:pPr>
        <w:rPr>
          <w:rFonts w:hint="eastAsia" w:ascii="Times New Roman" w:hAnsi="Times New Roman" w:eastAsia="宋体" w:cs="Times New Roman"/>
          <w:b/>
          <w:bCs/>
          <w:szCs w:val="21"/>
        </w:rPr>
      </w:pPr>
    </w:p>
    <w:p w14:paraId="2A5A60A9">
      <w:pPr>
        <w:rPr>
          <w:rFonts w:hint="eastAsia" w:ascii="Times New Roman" w:hAnsi="Times New Roman" w:eastAsia="宋体" w:cs="Times New Roman"/>
          <w:b/>
          <w:bCs/>
          <w:szCs w:val="21"/>
        </w:rPr>
      </w:pPr>
    </w:p>
    <w:p w14:paraId="428C6085">
      <w:pPr>
        <w:rPr>
          <w:rFonts w:hint="eastAsia" w:ascii="Times New Roman" w:hAnsi="Times New Roman" w:eastAsia="宋体" w:cs="Times New Roman"/>
          <w:b/>
          <w:bCs/>
          <w:szCs w:val="21"/>
        </w:rPr>
      </w:pPr>
    </w:p>
    <w:p w14:paraId="03DA8F21">
      <w:pPr>
        <w:rPr>
          <w:rFonts w:hint="eastAsia" w:ascii="Times New Roman" w:hAnsi="Times New Roman" w:eastAsia="宋体" w:cs="Times New Roman"/>
          <w:b/>
          <w:bCs/>
          <w:szCs w:val="21"/>
        </w:rPr>
      </w:pPr>
    </w:p>
    <w:p w14:paraId="4A82671E">
      <w:pPr>
        <w:rPr>
          <w:rFonts w:hint="eastAsia" w:ascii="Times New Roman" w:hAnsi="Times New Roman" w:eastAsia="宋体" w:cs="Times New Roman"/>
          <w:b/>
          <w:bCs/>
          <w:szCs w:val="21"/>
        </w:rPr>
      </w:pPr>
    </w:p>
    <w:p w14:paraId="57AB9665">
      <w:pPr>
        <w:rPr>
          <w:rFonts w:hint="eastAsia" w:ascii="Times New Roman" w:hAnsi="Times New Roman" w:eastAsia="宋体" w:cs="Times New Roman"/>
          <w:b/>
          <w:bCs/>
          <w:szCs w:val="21"/>
        </w:rPr>
      </w:pPr>
    </w:p>
    <w:p w14:paraId="129A4D7D">
      <w:pPr>
        <w:rPr>
          <w:rFonts w:hint="eastAsia" w:ascii="Times New Roman" w:hAnsi="Times New Roman" w:eastAsia="宋体" w:cs="Times New Roman"/>
          <w:b/>
          <w:bCs/>
          <w:szCs w:val="21"/>
        </w:rPr>
      </w:pPr>
    </w:p>
    <w:p w14:paraId="687CD69E">
      <w:pPr>
        <w:rPr>
          <w:rFonts w:hint="eastAsia" w:ascii="Times New Roman" w:hAnsi="Times New Roman" w:eastAsia="宋体" w:cs="Times New Roman"/>
          <w:b/>
          <w:bCs/>
          <w:szCs w:val="21"/>
        </w:rPr>
      </w:pPr>
    </w:p>
    <w:p w14:paraId="19F5CF11">
      <w:pPr>
        <w:rPr>
          <w:rFonts w:hint="eastAsia" w:ascii="Times New Roman" w:hAnsi="Times New Roman" w:eastAsia="宋体" w:cs="Times New Roman"/>
          <w:b/>
          <w:bCs/>
          <w:szCs w:val="21"/>
        </w:rPr>
      </w:pPr>
    </w:p>
    <w:p w14:paraId="537607D6">
      <w:pPr>
        <w:rPr>
          <w:rFonts w:hint="eastAsia" w:ascii="Times New Roman" w:hAnsi="Times New Roman" w:eastAsia="宋体" w:cs="Times New Roman"/>
          <w:b/>
          <w:bCs/>
          <w:szCs w:val="21"/>
        </w:rPr>
      </w:pPr>
    </w:p>
    <w:p w14:paraId="50F91301">
      <w:pPr>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附单项选</w:t>
      </w:r>
      <w:r>
        <w:rPr>
          <w:rFonts w:hint="eastAsia" w:ascii="仿宋_GB2312" w:hAnsi="仿宋_GB2312" w:eastAsia="仿宋_GB2312" w:cs="仿宋_GB2312"/>
          <w:b/>
          <w:bCs/>
          <w:sz w:val="32"/>
          <w:szCs w:val="32"/>
          <w:lang w:val="en-US" w:eastAsia="zh-CN"/>
        </w:rPr>
        <w:t xml:space="preserve">择题 </w:t>
      </w:r>
    </w:p>
    <w:p w14:paraId="4DFD62F4">
      <w:pPr>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 肥胖症的主要诊断标准之一是BMI值达到多少？</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A. ≥25 kg/m²</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≥28 kg/m²</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≥30 kg/m²</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≥35 kg/m²</w:t>
      </w:r>
    </w:p>
    <w:p w14:paraId="3DD2AC14">
      <w:pPr>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 以下哪项属于继发性肥胖症的病因？</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A. 遗传性瘦素受体基因突变</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长期使用糖皮质激素</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高脂饮食</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睡眠不足</w:t>
      </w:r>
    </w:p>
    <w:p w14:paraId="321476FB">
      <w:pPr>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 根据中国数据（2018年），成年人肥胖症患病率为多少？</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A. 7.9%</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11.1%</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16.4%</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34.3%</w:t>
      </w:r>
    </w:p>
    <w:p w14:paraId="6FD728E3">
      <w:pPr>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 肥胖症患者BMI≥37.5 kg/m²但低于50 kg/m²时，属于哪一级？</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A. 轻度肥胖症</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中度肥胖症</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重度肥胖症</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极重度肥胖症</w:t>
      </w:r>
    </w:p>
    <w:p w14:paraId="724FBBA5">
      <w:pPr>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 以下哪项是肥胖症相关的心血管系统疾病？</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A. 多囊卵巢综合征（PCOS）</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阻塞性睡眠呼吸暂停综合征（OSAS）</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动脉粥样硬化</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非酒精性脂肪性肝病（NAFLD）</w:t>
      </w:r>
    </w:p>
    <w:p w14:paraId="352E150D">
      <w:pPr>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 治疗肥胖症的药物中，属于GLP-1受体激动剂的是？</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A. 奥利司他</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利拉鲁肽</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米氮平</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阿米替林</w:t>
      </w:r>
    </w:p>
    <w:p w14:paraId="1448F5AD">
      <w:pPr>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 减重手术的适应症之一是BMI≥？</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A. 25 kg/m²合并代谢疾病</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27.5 kg/m²合并代谢疾病</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30 kg/m²合并代谢疾病</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32.5 kg/m²合并代谢疾病</w:t>
      </w:r>
    </w:p>
    <w:p w14:paraId="4A806E03">
      <w:pPr>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 肥胖症患者合并睡眠呼吸暂停（OSAS）的主要机制是？</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A. 肝脏脂肪堆积</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颈部脂肪增多导致咽喉狭窄</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高胰岛素血症</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皮质醇过度分泌</w:t>
      </w:r>
    </w:p>
    <w:p w14:paraId="4A7BF495">
      <w:pPr>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 以下哪项属于肥胖症病因评估中的“疾病与医源性因素”？</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A. 家族性肥胖史</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长期使用抗抑郁药物</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高糖饮食</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体力活动不足</w:t>
      </w:r>
    </w:p>
    <w:p w14:paraId="5FE2C5A5">
      <w:pPr>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 体重反弹的临床定义是体重上升超过基线体重的多少？</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A. 1%-3%</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3%-5%</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5%-10%</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10%-15%</w:t>
      </w:r>
      <w:r>
        <w:rPr>
          <w:rFonts w:hint="eastAsia" w:ascii="仿宋_GB2312" w:hAnsi="仿宋_GB2312" w:eastAsia="仿宋_GB2312" w:cs="仿宋_GB2312"/>
          <w:sz w:val="32"/>
          <w:szCs w:val="32"/>
        </w:rPr>
        <w:br w:type="textWrapping"/>
      </w:r>
    </w:p>
    <w:sectPr>
      <w:pgSz w:w="11906" w:h="16838"/>
      <w:pgMar w:top="1814" w:right="1587" w:bottom="1701" w:left="158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黑体简体">
    <w:panose1 w:val="02010601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AD7433"/>
    <w:multiLevelType w:val="singleLevel"/>
    <w:tmpl w:val="B4AD743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Y5MDAyM2IyOWExMzc1ZWI2N2M0NmI2ODU5M2E5NmQifQ=="/>
  </w:docVars>
  <w:rsids>
    <w:rsidRoot w:val="00620568"/>
    <w:rsid w:val="00081519"/>
    <w:rsid w:val="0008190B"/>
    <w:rsid w:val="000875A9"/>
    <w:rsid w:val="000C2F18"/>
    <w:rsid w:val="000E29A0"/>
    <w:rsid w:val="00117BE0"/>
    <w:rsid w:val="00127D41"/>
    <w:rsid w:val="002473F3"/>
    <w:rsid w:val="00266654"/>
    <w:rsid w:val="002A4508"/>
    <w:rsid w:val="002E3D86"/>
    <w:rsid w:val="003241E6"/>
    <w:rsid w:val="0037626C"/>
    <w:rsid w:val="003F0BBE"/>
    <w:rsid w:val="00417D69"/>
    <w:rsid w:val="0042654A"/>
    <w:rsid w:val="00456484"/>
    <w:rsid w:val="004B4F49"/>
    <w:rsid w:val="004E7749"/>
    <w:rsid w:val="00527F43"/>
    <w:rsid w:val="00530E33"/>
    <w:rsid w:val="00597158"/>
    <w:rsid w:val="005A2C9D"/>
    <w:rsid w:val="005F3BCC"/>
    <w:rsid w:val="006165DC"/>
    <w:rsid w:val="00620568"/>
    <w:rsid w:val="006575ED"/>
    <w:rsid w:val="00662BF9"/>
    <w:rsid w:val="00671C2C"/>
    <w:rsid w:val="0069499F"/>
    <w:rsid w:val="006F220C"/>
    <w:rsid w:val="00731DB7"/>
    <w:rsid w:val="00761F96"/>
    <w:rsid w:val="007A43F7"/>
    <w:rsid w:val="007E3C98"/>
    <w:rsid w:val="007F0D39"/>
    <w:rsid w:val="008A5F4D"/>
    <w:rsid w:val="008F7ACF"/>
    <w:rsid w:val="00911F12"/>
    <w:rsid w:val="00921321"/>
    <w:rsid w:val="009403DA"/>
    <w:rsid w:val="009806E3"/>
    <w:rsid w:val="00981E63"/>
    <w:rsid w:val="00A06FC2"/>
    <w:rsid w:val="00A23758"/>
    <w:rsid w:val="00B33762"/>
    <w:rsid w:val="00BE6589"/>
    <w:rsid w:val="00C04602"/>
    <w:rsid w:val="00C655A7"/>
    <w:rsid w:val="00D05772"/>
    <w:rsid w:val="00D304F6"/>
    <w:rsid w:val="00D52C2E"/>
    <w:rsid w:val="00E24864"/>
    <w:rsid w:val="00E408DA"/>
    <w:rsid w:val="00E578BF"/>
    <w:rsid w:val="00E64BD8"/>
    <w:rsid w:val="00E65561"/>
    <w:rsid w:val="00E9204F"/>
    <w:rsid w:val="00E9381F"/>
    <w:rsid w:val="00EB55E7"/>
    <w:rsid w:val="00F25516"/>
    <w:rsid w:val="00F5773C"/>
    <w:rsid w:val="00F95238"/>
    <w:rsid w:val="00FC4A42"/>
    <w:rsid w:val="080E4B24"/>
    <w:rsid w:val="0C226471"/>
    <w:rsid w:val="28FF10C9"/>
    <w:rsid w:val="41100D33"/>
    <w:rsid w:val="49AF0FF8"/>
    <w:rsid w:val="4A294680"/>
    <w:rsid w:val="4B0E61F2"/>
    <w:rsid w:val="50EF6903"/>
    <w:rsid w:val="56813D1C"/>
    <w:rsid w:val="649B76F0"/>
    <w:rsid w:val="75187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9"/>
    <w:semiHidden/>
    <w:unhideWhenUsed/>
    <w:qFormat/>
    <w:uiPriority w:val="9"/>
    <w:pPr>
      <w:keepNext/>
      <w:keepLines/>
      <w:spacing w:before="260" w:after="260" w:line="416" w:lineRule="auto"/>
      <w:outlineLvl w:val="2"/>
    </w:pPr>
    <w:rPr>
      <w:b/>
      <w:bCs/>
      <w:sz w:val="32"/>
      <w:szCs w:val="32"/>
    </w:rPr>
  </w:style>
  <w:style w:type="character" w:default="1" w:styleId="6">
    <w:name w:val="Default Paragraph Font"/>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7">
    <w:name w:val="List Paragraph"/>
    <w:basedOn w:val="1"/>
    <w:unhideWhenUsed/>
    <w:uiPriority w:val="99"/>
    <w:pPr>
      <w:ind w:firstLine="420" w:firstLineChars="200"/>
    </w:pPr>
  </w:style>
  <w:style w:type="character" w:customStyle="1" w:styleId="8">
    <w:name w:val="标题 2 字符"/>
    <w:basedOn w:val="6"/>
    <w:link w:val="3"/>
    <w:semiHidden/>
    <w:uiPriority w:val="9"/>
    <w:rPr>
      <w:rFonts w:asciiTheme="majorHAnsi" w:hAnsiTheme="majorHAnsi" w:eastAsiaTheme="majorEastAsia" w:cstheme="majorBidi"/>
      <w:b/>
      <w:bCs/>
      <w:kern w:val="2"/>
      <w:sz w:val="32"/>
      <w:szCs w:val="32"/>
    </w:rPr>
  </w:style>
  <w:style w:type="character" w:customStyle="1" w:styleId="9">
    <w:name w:val="标题 3 字符"/>
    <w:basedOn w:val="6"/>
    <w:link w:val="4"/>
    <w:semiHidden/>
    <w:uiPriority w:val="9"/>
    <w:rPr>
      <w:rFonts w:asciiTheme="minorHAnsi" w:hAnsiTheme="minorHAnsi" w:eastAsiaTheme="minorEastAsia" w:cstheme="minorBidi"/>
      <w:b/>
      <w:bCs/>
      <w:kern w:val="2"/>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5187</Words>
  <Characters>5979</Characters>
  <Lines>44</Lines>
  <Paragraphs>12</Paragraphs>
  <TotalTime>16</TotalTime>
  <ScaleCrop>false</ScaleCrop>
  <LinksUpToDate>false</LinksUpToDate>
  <CharactersWithSpaces>6072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2025-03-17T02:59:00Z</dcterms:created>
  <dc:creator>Krystal Zeng</dc:creator>
  <cp:lastModifiedBy>轻舞飞扬</cp:lastModifiedBy>
  <dcterms:modified xsi:type="dcterms:W3CDTF">2026-01-15T07:14:55Z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8797617930BF4E08AA86AB42A377E97F_12</vt:lpwstr>
  </property>
  <property fmtid="{D5CDD505-2E9C-101B-9397-08002B2CF9AE}" pid="4" name="KSOTemplateDocerSaveRecord">
    <vt:lpwstr>eyJoZGlkIjoiODBmNTMzZjkzYzI0YjY0ZTVkNDZkMTM4NTY2ZGEwNjciLCJ1c2VySWQiOiI1OTU4NDk1MTUifQ==</vt:lpwstr>
  </property>
</Properties>
</file>